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075A" w14:textId="3524E99A" w:rsidR="000C787D" w:rsidRDefault="000C787D" w:rsidP="000C787D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kern w:val="0"/>
          <w:sz w:val="36"/>
          <w:szCs w:val="36"/>
          <w:lang w:eastAsia="it-IT"/>
          <w14:ligatures w14:val="none"/>
        </w:rPr>
        <w:drawing>
          <wp:inline distT="0" distB="0" distL="0" distR="0" wp14:anchorId="631A7325" wp14:editId="6422897E">
            <wp:extent cx="6111240" cy="3909060"/>
            <wp:effectExtent l="0" t="0" r="3810" b="0"/>
            <wp:docPr id="74663877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5B9B" w14:textId="0E7539D3" w:rsidR="000C787D" w:rsidRPr="000C787D" w:rsidRDefault="000C787D" w:rsidP="000C787D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  <w:t>VIEW Conference ospita i candidati all'Oscar per il miglior cortometraggio animato</w:t>
      </w:r>
    </w:p>
    <w:p w14:paraId="26E23F2C" w14:textId="77777777" w:rsidR="000C787D" w:rsidRPr="000C787D" w:rsidRDefault="000C787D" w:rsidP="000C787D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  <w:t>in un imperdibile panel virtuale</w:t>
      </w:r>
    </w:p>
    <w:p w14:paraId="509E4A2F" w14:textId="77777777" w:rsidR="000C787D" w:rsidRPr="000C787D" w:rsidRDefault="000C787D" w:rsidP="000C787D">
      <w:pPr>
        <w:spacing w:after="0" w:line="253" w:lineRule="atLeast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6390C6B0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Torino: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in vista della 96ma edizione degli Academy Awards,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VIEW Conference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in collaborazione con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VFX Festival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è orgogliosa di annunciare un imperdibile panel virtuale che vedrà protagonisti i contendenti agli Oscar 2024 nella categoria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Miglior Cortometraggio d'Animazione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. La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registrazione, completamente GRATUITA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offrirà al pubblico l’opportunità unica di ascoltare questo prestigioso parterre di talentuosi autori discutere delle proprie opere. </w:t>
      </w:r>
      <w:proofErr w:type="gram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E’</w:t>
      </w:r>
      <w:proofErr w:type="gram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prevista al termine una sessione di domande e risposte che consentirà a tutti i partecipanti di sottoporre i propri quesiti e curiosità ai relatori.</w:t>
      </w:r>
    </w:p>
    <w:p w14:paraId="4423311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151E3EE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La sessione live, moderata da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Dan Sarto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redattore capo di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Animation World Network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avrà la durata di un'ora e si svolgerà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martedì 20 febbraio 2024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alle ore 9:30 PST / 17:30 UK / 18:30 CET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.</w:t>
      </w:r>
    </w:p>
    <w:p w14:paraId="4460FD90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Per accedervi è già possibile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registrarsi GRATUITAMENTE sul sito ufficiale di VIEW Conference:</w:t>
      </w:r>
    </w:p>
    <w:p w14:paraId="57EC53A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“I finalisti all’Oscar per il Miglior Cortometraggio d'Animazione”:</w:t>
      </w:r>
    </w:p>
    <w:p w14:paraId="20512AEC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hyperlink r:id="rId5" w:tgtFrame="_blank" w:history="1">
        <w:r w:rsidRPr="000C787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https://www.viewconference.it/article/953/5-oscar-contenders-for-best-animated-short</w:t>
        </w:r>
      </w:hyperlink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4E854A2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4003ADD5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Parteciperanno:</w:t>
      </w:r>
    </w:p>
    <w:p w14:paraId="68309C3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2BE4FF82" w14:textId="77777777" w:rsidR="000C787D" w:rsidRPr="000C787D" w:rsidRDefault="000C787D" w:rsidP="000C787D">
      <w:pPr>
        <w:spacing w:after="0" w:line="253" w:lineRule="atLeast"/>
        <w:ind w:left="360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Symbol" w:eastAsia="Times New Roman" w:hAnsi="Symbol" w:cs="Calibri"/>
          <w:kern w:val="0"/>
          <w:sz w:val="24"/>
          <w:szCs w:val="24"/>
          <w:lang w:val="en-US" w:eastAsia="it-IT"/>
          <w14:ligatures w14:val="none"/>
        </w:rPr>
        <w:t>·</w:t>
      </w:r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t>    </w:t>
      </w:r>
      <w:proofErr w:type="gramStart"/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eastAsia="it-IT"/>
          <w14:ligatures w14:val="none"/>
        </w:rPr>
        <w:t>   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“</w:t>
      </w:r>
      <w:proofErr w:type="spellStart"/>
      <w:proofErr w:type="gram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Letter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to a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Pig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–  con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Tal Kantor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(regista) and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Amit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Gicelter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(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produttore)</w:t>
      </w:r>
    </w:p>
    <w:p w14:paraId="0B2AF3CC" w14:textId="77777777" w:rsidR="000C787D" w:rsidRPr="000C787D" w:rsidRDefault="000C787D" w:rsidP="000C787D">
      <w:pPr>
        <w:spacing w:after="0" w:line="253" w:lineRule="atLeast"/>
        <w:ind w:left="360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Symbol" w:eastAsia="Times New Roman" w:hAnsi="Symbol" w:cs="Calibri"/>
          <w:kern w:val="0"/>
          <w:sz w:val="24"/>
          <w:szCs w:val="24"/>
          <w:lang w:val="en-US" w:eastAsia="it-IT"/>
          <w14:ligatures w14:val="none"/>
        </w:rPr>
        <w:t>·</w:t>
      </w:r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 </w:t>
      </w:r>
      <w:proofErr w:type="gramStart"/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“</w:t>
      </w:r>
      <w:proofErr w:type="gram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it-IT"/>
          <w14:ligatures w14:val="none"/>
        </w:rPr>
        <w:t>Ninety-Five Senses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” –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Jerusha Hess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(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regista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)</w:t>
      </w:r>
    </w:p>
    <w:p w14:paraId="09D79D39" w14:textId="77777777" w:rsidR="000C787D" w:rsidRPr="000C787D" w:rsidRDefault="000C787D" w:rsidP="000C787D">
      <w:pPr>
        <w:spacing w:after="0" w:line="253" w:lineRule="atLeast"/>
        <w:ind w:left="360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Symbol" w:eastAsia="Times New Roman" w:hAnsi="Symbol" w:cs="Calibri"/>
          <w:kern w:val="0"/>
          <w:sz w:val="24"/>
          <w:szCs w:val="24"/>
          <w:lang w:val="en-US" w:eastAsia="it-IT"/>
          <w14:ligatures w14:val="none"/>
        </w:rPr>
        <w:t>·</w:t>
      </w:r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 </w:t>
      </w:r>
      <w:proofErr w:type="gramStart"/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“</w:t>
      </w:r>
      <w:proofErr w:type="gram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it-IT"/>
          <w14:ligatures w14:val="none"/>
        </w:rPr>
        <w:t>Our Uniform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” –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Yegane Moghaddam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(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regista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)</w:t>
      </w:r>
    </w:p>
    <w:p w14:paraId="2FB74B74" w14:textId="77777777" w:rsidR="000C787D" w:rsidRPr="000C787D" w:rsidRDefault="000C787D" w:rsidP="000C787D">
      <w:pPr>
        <w:spacing w:after="0" w:line="253" w:lineRule="atLeast"/>
        <w:ind w:left="360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Symbol" w:eastAsia="Times New Roman" w:hAnsi="Symbol" w:cs="Calibri"/>
          <w:kern w:val="0"/>
          <w:sz w:val="24"/>
          <w:szCs w:val="24"/>
          <w:lang w:val="en-US" w:eastAsia="it-IT"/>
          <w14:ligatures w14:val="none"/>
        </w:rPr>
        <w:t>·</w:t>
      </w:r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 </w:t>
      </w:r>
      <w:proofErr w:type="gramStart"/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“</w:t>
      </w:r>
      <w:proofErr w:type="spellStart"/>
      <w:proofErr w:type="gram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it-IT"/>
          <w14:ligatures w14:val="none"/>
        </w:rPr>
        <w:t>Pachyderme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” –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Stéphanie Clément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(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regista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)</w:t>
      </w:r>
    </w:p>
    <w:p w14:paraId="25D68060" w14:textId="77777777" w:rsidR="000C787D" w:rsidRPr="000C787D" w:rsidRDefault="000C787D" w:rsidP="000C787D">
      <w:pPr>
        <w:spacing w:after="0" w:line="253" w:lineRule="atLeast"/>
        <w:ind w:left="360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Symbol" w:eastAsia="Times New Roman" w:hAnsi="Symbol" w:cs="Calibri"/>
          <w:kern w:val="0"/>
          <w:sz w:val="24"/>
          <w:szCs w:val="24"/>
          <w:lang w:val="en-US" w:eastAsia="it-IT"/>
          <w14:ligatures w14:val="none"/>
        </w:rPr>
        <w:t>·</w:t>
      </w:r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 </w:t>
      </w:r>
      <w:proofErr w:type="gramStart"/>
      <w:r w:rsidRPr="000C787D">
        <w:rPr>
          <w:rFonts w:ascii="Times New Roman" w:eastAsia="Times New Roman" w:hAnsi="Times New Roman" w:cs="Times New Roman"/>
          <w:kern w:val="0"/>
          <w:sz w:val="14"/>
          <w:szCs w:val="14"/>
          <w:lang w:val="en-US" w:eastAsia="it-IT"/>
          <w14:ligatures w14:val="none"/>
        </w:rPr>
        <w:t>   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“</w:t>
      </w:r>
      <w:proofErr w:type="gram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it-IT"/>
          <w14:ligatures w14:val="none"/>
        </w:rPr>
        <w:t>WAR IS OVER! Inspired by the Music of John &amp; Yoko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” –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Dave Mullins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(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regista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/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sceneggiatore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) e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Brad Booker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(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produttore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)</w:t>
      </w:r>
    </w:p>
    <w:p w14:paraId="3107B78C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val="en-US"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lastRenderedPageBreak/>
        <w:t> </w:t>
      </w:r>
    </w:p>
    <w:p w14:paraId="10193314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Bentornati nella stagione dei premi!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– ha commentato la direttrice del simposio, dott.ssa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Maria Elena Gutierrez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- 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Sono entusiasta che VIEW Conference anche quest’anno ospiti i registi candidati all’Oscar. Si tratta di un autentico privilegio poter riunire tanto talento nella stessa location, seppur virtuale, e nello stesso momento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!”</w:t>
      </w:r>
    </w:p>
    <w:p w14:paraId="31C9491A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12064530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Per saperne di più sull’edizione 2024 del VFX Festival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: </w:t>
      </w:r>
      <w:hyperlink r:id="rId6" w:tgtFrame="_blank" w:history="1">
        <w:r w:rsidRPr="000C787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https://www.thevfxfestival.com</w:t>
        </w:r>
      </w:hyperlink>
    </w:p>
    <w:p w14:paraId="1598F4A4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27EE05E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Tal Kantor</w:t>
      </w:r>
    </w:p>
    <w:p w14:paraId="71645B75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321585B9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Pluripremiata regista di animazione e artista visiva, si è laureata con lode alla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Bezalel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Academy of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Arts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and Design di Gerusalemme, presso cui attualmente è docente nello Screen-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Based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Arts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Department. Nelle sue opere affronta spesso il tema della memoria, utilizzando una tecnica peculiare da lei sviluppata che combina disegno, fotografia, inserti video, pittura e animazione. Il suo cortometraggio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In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Other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Words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 ha ottenuto 17 riconoscimenti ed è stato selezionato in oltre 100 festival di tutto il mondo. È stata direttrice dell'animazione per il film documentario "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Advocate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", vincitore agli Emmy Awards 2021, e finalista agli Oscar 2020.</w:t>
      </w:r>
    </w:p>
    <w:p w14:paraId="7EB7EB89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70D3E519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Amit Russell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Gicelter</w:t>
      </w:r>
      <w:proofErr w:type="spellEnd"/>
    </w:p>
    <w:p w14:paraId="0C08D384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49A723ED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Rinomato produttore, salito di recente alla ribalta per i cortometraggi “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Letter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To A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Pig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” e “Black Slide”, nel 2010 ha fondato The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Hive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, uno studio di animazione diventato leader in Israele, in cui ricopre il ruolo di amministratore delegato e responsabile di produzione. Specializzato in coproduzioni internazionali, Amit vanta una lunga esperienza nella produzione, con al suo attivo diversi acclamati cortometraggi animati, serie TV, film e contenuti per il web. È un convinto sostenitore dell'industria dell'animazione israeliana e lavora assiduamente per promuoverne crescita ed influenza sia a livello locale che internazionale.</w:t>
      </w:r>
    </w:p>
    <w:p w14:paraId="2C1A250C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020C110F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Jerusha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Hess</w:t>
      </w:r>
    </w:p>
    <w:p w14:paraId="23F71BC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9F27FE2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Regista americana, nota soprattutto per il suo lavoro nei lungometraggi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Napoleon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Dynamite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Super Nacho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Gentlemen Broncos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scritti in collaborazione col marito Jared e diretti da quest’ultimo. Ha esordito da solista alla regia nel 2013 con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Alla ricerca di Jane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presentato in anteprima al Sundance Festival. La coppia ha recentemente collaborato al nuovo film d'animazione prodotto da Netflix,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Thelma the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Unicorn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”.</w:t>
      </w:r>
    </w:p>
    <w:p w14:paraId="4720EDF9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556405F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Yegane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Moghaddam</w:t>
      </w:r>
      <w:proofErr w:type="spellEnd"/>
    </w:p>
    <w:p w14:paraId="68F07153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6B385DCF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Animatrice e illustratrice iraniana appassionata di natura, cultura e attivismo sociale. La sua filmografia include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On the Cover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(2018) e “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Our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Uniform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(2023).</w:t>
      </w:r>
    </w:p>
    <w:p w14:paraId="6C73B42D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2DD4046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Stephanie Clément</w:t>
      </w:r>
    </w:p>
    <w:p w14:paraId="39BAC0F6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4C895E68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Anche lei illustratrice e regista di film d'animazione, si è laureata al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MoPA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(ex-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Supinfocom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Arles) nel 2012, e il suo film di diploma “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Dans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l'ombre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”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è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statp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selezionato al Festival di Annecy. Ha poi sviluppato il progetto transmediale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La Petite Vampire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aux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Crocs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de Verre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”. Nel 2021 ha diretto “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Pachyderm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”, un cortometraggio animato prodotto da TNPZV Productions e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Folimage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, con il supporto di Arte.</w:t>
      </w:r>
    </w:p>
    <w:p w14:paraId="4CF788BB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lastRenderedPageBreak/>
        <w:t> </w:t>
      </w:r>
    </w:p>
    <w:p w14:paraId="4F455CAD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Dave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Mullins</w:t>
      </w:r>
      <w:proofErr w:type="spellEnd"/>
    </w:p>
    <w:p w14:paraId="33014485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2AE7CD4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Illustre sceneggiatore, regista e animatore americano, ha fornito un significativo contributo allo sviluppo dello storytelling cinematografico. Co-fondatore di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ElectroLeague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la sua lunga esperienza professionale comprende una carriera ventennale presso i Pixar Animation Studios. Il suo debutto alla regia è con il toccante cortometraggio 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"LOU",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che gli vale anche una nomination all'Oscar di categoria, oltre a numerosi consensi e segnalazioni in occasione di eventi quali il SXSW® Film Festival e il San Francisco International Film Festival. Durante la sua permanenza in Pixar, Dave ha svolto un ruolo fondamentale nella supervisione dell'animazione di diversi capolavori premio Oscar, quali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Up"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e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Soul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". I suoi contributi artistici si estendono ad altri celebrati progetti, tra cui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Gli Incredibili 2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", candidato agli Oscar, e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Cars 2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 e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Il viaggio di Arlo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", entrambi finalisti ai Golden Globes. La carriera di Dave nell'animazione è iniziata nel 1995 presso Walt Disney Feature Animation, proseguendo con ruoli importanti a Sony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Imageworks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e Digital Domain. I suoi crediti includono pellicole iconiche quali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Stuart Little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Monsters &amp; Co.”,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Alla ricerca di Nemo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",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Cars",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Ratatouille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",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Brave-Coraggiosa e ribelle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",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Inside Out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 e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Coco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". Oltre alle sue attività come creativo, ha studiato informatica alla Brown University, conseguendo poi un BFA presso la Rhode Island School of Design. La sua competenza tecnica si è concretizzata in Pixar con quattro brevetti pluripremiati, che ne attestano il ruolo fondamentale nello sviluppo di innovativi strumenti per l’animazione realizzati appositamente per le pellicole Pixar di maggior successo.</w:t>
      </w:r>
    </w:p>
    <w:p w14:paraId="0AF7BB0B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CCF494B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Brad Booker</w:t>
      </w:r>
    </w:p>
    <w:p w14:paraId="173BBA36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696355AC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Veterano produttore cinematografico ed ex animatore con oltre tre decenni di esperienza nel settore dell'intrattenimento. Alimentato dalla passione per la narrazione drammatica e la tecnologia innovativa, e con la missione dichiarata di massimizzare l'impatto del budget sul risultato, Brad ha saputo integrare perfettamente questi elementi convogliandoli nella formazione di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ElectroLeague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. Prima della nascita dell’azienda, ha fornito un contributo significativo al panorama cinematografico: tra le sue produzioni più note ricordiamo 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"Steve-Un mostro a tutto ritmo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" (2020) per Paramount Pictures e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Il Libro della Vita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" (2014) per 20th Century Fox. Quest'ultimo ha ottenuto candidature quale Miglior film d'animazione ai Golden Globes, ai Producers Guild of America e ai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Critics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' Choice Movie Awards, conquistando anche 5 Annie Awards. Durante i suoi 15 anni di illustre servizio presso i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Reel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FX Animation Studios, Brad ha ricoperto il ruolo di produttore dando un forte impulso allo sviluppo del settore cinematografico e svolgendo un ruolo fondamentale nel portare sul grande schermo i tre i film d'animazione prodotti dallo studio. La passione di Brad per l’ambito videoludico lo ha condotto a lavorare per gli Acclaim Game Studios, dove ha diretto gli inserti filmati per il blockbuster "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The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Red Star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". L’esordio come animatore è avvenuto presso rinomati studi come Warner Bros, Sony Pictures e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Weta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FX, e tra i suoi contributi ricordiamo quelli per celebri pellicole come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Il gigante di ferro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“</w:t>
      </w:r>
      <w:proofErr w:type="spellStart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Osmosis</w:t>
      </w:r>
      <w:proofErr w:type="spellEnd"/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 xml:space="preserve"> Jones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Stuart Little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”,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Spider-Man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 e “</w:t>
      </w:r>
      <w:r w:rsidRPr="000C787D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Il Signore degli Anelli-Le due torri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”.</w:t>
      </w:r>
    </w:p>
    <w:p w14:paraId="22DAA032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3840698B" w14:textId="39886619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C78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inline distT="0" distB="0" distL="0" distR="0" wp14:anchorId="3A9D6BB6" wp14:editId="7BE5CA22">
                <wp:extent cx="5928360" cy="22860"/>
                <wp:effectExtent l="0" t="0" r="0" b="0"/>
                <wp:docPr id="149205088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836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27774" id="Rettangolo 2" o:spid="_x0000_s1026" style="width:466.8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A1DC8FF" w14:textId="77777777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C787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it-IT"/>
          <w14:ligatures w14:val="none"/>
        </w:rPr>
        <w:t> </w:t>
      </w:r>
    </w:p>
    <w:p w14:paraId="03B4ADC4" w14:textId="77777777" w:rsidR="000C787D" w:rsidRPr="000C787D" w:rsidRDefault="000C787D" w:rsidP="000C787D">
      <w:pPr>
        <w:spacing w:after="0" w:line="300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</w:t>
      </w:r>
    </w:p>
    <w:p w14:paraId="457AE47C" w14:textId="77777777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C787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 w:type="textWrapping" w:clear="all"/>
      </w:r>
    </w:p>
    <w:p w14:paraId="169C504D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Sono aperte le iscrizioni per l’edizione 2024 di VIEW Conference!</w:t>
      </w:r>
    </w:p>
    <w:p w14:paraId="05C158F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657FB288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lastRenderedPageBreak/>
        <w:t xml:space="preserve">VIEW Conference è felice di annunciare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le date ufficiali della prossima edizione: 14-19 ottobre 2024.</w:t>
      </w:r>
    </w:p>
    <w:p w14:paraId="6EF0F654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Accreditatevi ORA e risparmiate con il nostro 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speciale sconto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Early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Bird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!</w:t>
      </w:r>
    </w:p>
    <w:p w14:paraId="2D26D613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45EF5D8F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Per acquistare i biglietti di VIEW Conference 2024:</w:t>
      </w:r>
    </w:p>
    <w:p w14:paraId="0AE51BC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hyperlink r:id="rId7" w:tgtFrame="_blank" w:history="1">
        <w:r w:rsidRPr="000C787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https://www.viewconference.it/pages/registration</w:t>
        </w:r>
      </w:hyperlink>
    </w:p>
    <w:p w14:paraId="1268740C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4C38AB67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 xml:space="preserve">A </w:t>
      </w: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proposito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 xml:space="preserve"> di VIEW Conference </w:t>
      </w:r>
    </w:p>
    <w:p w14:paraId="35146D5A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Declinato in lingua inglese, 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VIEW Conference 2024 si terrà come sempre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 nella splendida e suggestiva città di Torino, in Italia. Partecipare all'evento di persona garantisce un'eccezionale opportunità di immergersi nella sua eccezionale atmosfera e incontrare i propri eroi e mentori. In alternativa, l'accesso online al programma completo consente a un pubblico davvero globale di usufruire della conferenza tramite un esclusivo servizio di live streaming.  Il simposio internazionale VIEW Conference riunisce professionisti del settore,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Thought</w:t>
      </w:r>
      <w:proofErr w:type="spellEnd"/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Leader, studenti e semplici appassionati per celebrare le più recenti innovazioni nei settori animazione, VFX e videogiochi, e condividere le rispettive visioni del futuro. L'atmosfera vibrante e inclusiva della conferenza è appositamente progettata per illuminare e ispirare grazie al suo denso e articolato programma in presenza a base di conferenze, presentazioni, workshop e masterclass che abbracciano ogni aspetto e sfumatura di svariati argomenti quali Storytelling, produzioni virtuali, computer grafica, Media interattivi e immersivi, VR /AR/Realtà mista e Metaverso, intelligenza artificiale, Rendering in Real Time, e molto altro ancora.</w:t>
      </w:r>
    </w:p>
    <w:p w14:paraId="6BB3F4DA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71C54342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val="en-US" w:eastAsia="it-IT"/>
          <w14:ligatures w14:val="none"/>
        </w:rPr>
      </w:pPr>
      <w:proofErr w:type="spellStart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>L’Archivio</w:t>
      </w:r>
      <w:proofErr w:type="spellEnd"/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it-IT"/>
          <w14:ligatures w14:val="none"/>
        </w:rPr>
        <w:t xml:space="preserve"> On-Demand di VIEW Conference</w:t>
      </w:r>
    </w:p>
    <w:p w14:paraId="37B222C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val="en-US"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 </w:t>
      </w:r>
    </w:p>
    <w:p w14:paraId="47EC0F9E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Dopo esservi accreditati a VIEW Conference 2024, perché non esplorare il nostro ricco archivio on-demand? Immergetevi in una ricca offerta di sessioni e conferenze registrate dai programmi delle precedenti edizioni</w:t>
      </w: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. I ticket on-demand sono disponibili dalla pagina Accrediti del sito ufficiale di VIEW Conference</w:t>
      </w: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:</w:t>
      </w:r>
    </w:p>
    <w:p w14:paraId="46200181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54E69B49" w14:textId="77777777" w:rsidR="000C787D" w:rsidRPr="000C787D" w:rsidRDefault="000C787D" w:rsidP="000C7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it-IT"/>
          <w14:ligatures w14:val="none"/>
        </w:rPr>
      </w:pPr>
      <w:hyperlink r:id="rId8" w:tgtFrame="_blank" w:history="1">
        <w:r w:rsidRPr="000C787D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https://www.viewconference.it/pages/registration</w:t>
        </w:r>
      </w:hyperlink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DE02F2A" w14:textId="77777777" w:rsidR="000C787D" w:rsidRPr="000C787D" w:rsidRDefault="000C787D" w:rsidP="000C787D">
      <w:pPr>
        <w:spacing w:after="0" w:line="253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 </w:t>
      </w:r>
    </w:p>
    <w:p w14:paraId="0C7E2A77" w14:textId="250A7E7C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C78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inline distT="0" distB="0" distL="0" distR="0" wp14:anchorId="4439F777" wp14:editId="0F82B946">
                <wp:extent cx="5928360" cy="22860"/>
                <wp:effectExtent l="0" t="0" r="0" b="0"/>
                <wp:docPr id="1342555386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836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9A42D" id="Rettangolo 1" o:spid="_x0000_s1026" style="width:466.8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5F2FC04A" w14:textId="77777777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C78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F0C567" w14:textId="77777777" w:rsidR="000C787D" w:rsidRPr="000C787D" w:rsidRDefault="000C787D" w:rsidP="000C787D">
      <w:pPr>
        <w:spacing w:after="0" w:line="253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 </w:t>
      </w:r>
    </w:p>
    <w:p w14:paraId="40D1D72F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Per maggiori informazioni:</w:t>
      </w:r>
    </w:p>
    <w:p w14:paraId="4D390CF3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hyperlink r:id="rId9" w:tgtFrame="_blank" w:history="1">
        <w:r w:rsidRPr="000C787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https://www.viewconference.it</w:t>
        </w:r>
      </w:hyperlink>
    </w:p>
    <w:p w14:paraId="20B2AF2E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Facebook: </w:t>
      </w:r>
      <w:hyperlink r:id="rId10" w:tgtFrame="_blank" w:history="1">
        <w:r w:rsidRPr="000C787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https://facebook.com/viewconference</w:t>
        </w:r>
      </w:hyperlink>
    </w:p>
    <w:p w14:paraId="01F73694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YouTube: </w:t>
      </w:r>
      <w:hyperlink r:id="rId11" w:tgtFrame="_blank" w:history="1">
        <w:r w:rsidRPr="000C787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https://youtube.com/c/viewconference</w:t>
        </w:r>
      </w:hyperlink>
    </w:p>
    <w:p w14:paraId="03F58E75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Twitter: @viewconference</w:t>
      </w:r>
    </w:p>
    <w:p w14:paraId="7E66C4F1" w14:textId="77777777" w:rsidR="000C787D" w:rsidRPr="000C787D" w:rsidRDefault="000C787D" w:rsidP="000C787D">
      <w:pPr>
        <w:spacing w:line="231" w:lineRule="atLeast"/>
        <w:jc w:val="both"/>
        <w:rPr>
          <w:rFonts w:ascii="Calibri" w:eastAsia="Times New Roman" w:hAnsi="Calibri" w:cs="Calibri"/>
          <w:kern w:val="0"/>
          <w:lang w:val="en-US" w:eastAsia="it-IT"/>
          <w14:ligatures w14:val="none"/>
        </w:rPr>
      </w:pPr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 xml:space="preserve">Instagram: </w:t>
      </w:r>
      <w:proofErr w:type="spellStart"/>
      <w:r w:rsidRPr="000C787D">
        <w:rPr>
          <w:rFonts w:ascii="Calibri" w:eastAsia="Times New Roman" w:hAnsi="Calibri" w:cs="Calibri"/>
          <w:kern w:val="0"/>
          <w:sz w:val="24"/>
          <w:szCs w:val="24"/>
          <w:lang w:val="en-US" w:eastAsia="it-IT"/>
          <w14:ligatures w14:val="none"/>
        </w:rPr>
        <w:t>view_conference</w:t>
      </w:r>
      <w:proofErr w:type="spellEnd"/>
    </w:p>
    <w:p w14:paraId="479E495A" w14:textId="77777777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val="en-US" w:eastAsia="it-IT"/>
          <w14:ligatures w14:val="none"/>
        </w:rPr>
      </w:pPr>
      <w:r w:rsidRPr="000C787D">
        <w:rPr>
          <w:rFonts w:ascii="Arial" w:eastAsia="Times New Roman" w:hAnsi="Arial" w:cs="Arial"/>
          <w:kern w:val="0"/>
          <w:sz w:val="26"/>
          <w:szCs w:val="26"/>
          <w:lang w:val="en-US" w:eastAsia="it-IT"/>
          <w14:ligatures w14:val="none"/>
        </w:rPr>
        <w:t>VIEW Conference newsletter: </w:t>
      </w:r>
      <w:hyperlink r:id="rId12" w:tgtFrame="_blank" w:history="1">
        <w:r w:rsidRPr="000C787D">
          <w:rPr>
            <w:rFonts w:ascii="Arial" w:eastAsia="Times New Roman" w:hAnsi="Arial" w:cs="Arial"/>
            <w:color w:val="0000FF"/>
            <w:kern w:val="0"/>
            <w:sz w:val="26"/>
            <w:szCs w:val="26"/>
            <w:u w:val="single"/>
            <w:lang w:val="en-US" w:eastAsia="it-IT"/>
            <w14:ligatures w14:val="none"/>
          </w:rPr>
          <w:t>Sign up here</w:t>
        </w:r>
      </w:hyperlink>
    </w:p>
    <w:p w14:paraId="1E70DD56" w14:textId="77777777" w:rsidR="000C787D" w:rsidRPr="000C787D" w:rsidRDefault="000C787D" w:rsidP="000C787D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it-IT"/>
          <w14:ligatures w14:val="none"/>
        </w:rPr>
      </w:pPr>
      <w:r w:rsidRPr="000C787D">
        <w:rPr>
          <w:rFonts w:ascii="Arial" w:eastAsia="Times New Roman" w:hAnsi="Arial" w:cs="Arial"/>
          <w:kern w:val="0"/>
          <w:sz w:val="26"/>
          <w:szCs w:val="26"/>
          <w:lang w:eastAsia="it-IT"/>
          <w14:ligatures w14:val="none"/>
        </w:rPr>
        <w:t>#viewconference2024</w:t>
      </w:r>
    </w:p>
    <w:p w14:paraId="0E0DCD4A" w14:textId="77777777" w:rsidR="00E84D0B" w:rsidRDefault="00E84D0B"/>
    <w:sectPr w:rsidR="00E84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2"/>
    <w:rsid w:val="00010062"/>
    <w:rsid w:val="000C787D"/>
    <w:rsid w:val="00697C3C"/>
    <w:rsid w:val="00E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9645"/>
  <w15:chartTrackingRefBased/>
  <w15:docId w15:val="{B702DC2B-A557-4559-95C5-6D2C605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787D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C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conference.it/pages/registr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ewconference.it/pages/registration" TargetMode="External"/><Relationship Id="rId12" Type="http://schemas.openxmlformats.org/officeDocument/2006/relationships/hyperlink" Target="https://mailchi.mp/66092d76e49f/view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vfxfestival.com/" TargetMode="External"/><Relationship Id="rId11" Type="http://schemas.openxmlformats.org/officeDocument/2006/relationships/hyperlink" Target="https://youtube.com/c/viewconference" TargetMode="External"/><Relationship Id="rId5" Type="http://schemas.openxmlformats.org/officeDocument/2006/relationships/hyperlink" Target="https://www.viewconference.it/article/953/5-oscar-contenders-for-best-animated-short" TargetMode="External"/><Relationship Id="rId10" Type="http://schemas.openxmlformats.org/officeDocument/2006/relationships/hyperlink" Target="https://facebook.com/viewconferen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viewconferenc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Balachia</dc:creator>
  <cp:keywords/>
  <dc:description/>
  <cp:lastModifiedBy>Daniele Balachia</cp:lastModifiedBy>
  <cp:revision>2</cp:revision>
  <dcterms:created xsi:type="dcterms:W3CDTF">2024-02-12T15:07:00Z</dcterms:created>
  <dcterms:modified xsi:type="dcterms:W3CDTF">2024-02-12T15:08:00Z</dcterms:modified>
</cp:coreProperties>
</file>